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CD7B49" w14:paraId="56937EA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DDF2C51" w14:textId="77777777" w:rsidR="00CD7B49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35B40794" w14:textId="77777777" w:rsidR="00CD7B49" w:rsidRDefault="00000000">
            <w:pPr>
              <w:spacing w:after="0" w:line="240" w:lineRule="auto"/>
            </w:pPr>
            <w:r>
              <w:t>27095</w:t>
            </w:r>
          </w:p>
        </w:tc>
      </w:tr>
      <w:tr w:rsidR="00CD7B49" w14:paraId="7E0DDAC3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36F7861" w14:textId="77777777" w:rsidR="00CD7B49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166A10A9" w14:textId="77777777" w:rsidR="00CD7B49" w:rsidRDefault="00000000">
            <w:pPr>
              <w:spacing w:after="0" w:line="240" w:lineRule="auto"/>
            </w:pPr>
            <w:r>
              <w:t>OPĆINA PUŠĆA</w:t>
            </w:r>
          </w:p>
        </w:tc>
      </w:tr>
      <w:tr w:rsidR="00CD7B49" w14:paraId="55A3B05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48E73F5" w14:textId="77777777" w:rsidR="00CD7B49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803676E" w14:textId="77777777" w:rsidR="00CD7B49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03AFE69A" w14:textId="77777777" w:rsidR="00CD7B49" w:rsidRDefault="00000000">
      <w:r>
        <w:br/>
      </w:r>
    </w:p>
    <w:p w14:paraId="0E2E46E3" w14:textId="77777777" w:rsidR="00CD7B49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0623AFF" w14:textId="77777777" w:rsidR="00CD7B49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37E1BE1" w14:textId="77777777" w:rsidR="00CD7B49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48007F5F" w14:textId="77777777" w:rsidR="00CD7B49" w:rsidRDefault="00CD7B49"/>
    <w:p w14:paraId="56234A6F" w14:textId="77777777" w:rsidR="00CD7B4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22EB65E2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5EE8C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B0559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D1189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A9274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55BC1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1CC51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C3142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08F04DD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1FB96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17C70F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3C57DA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03120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1.225.145,57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D7432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1.234.777,83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36FF62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100,8</w:t>
            </w:r>
          </w:p>
        </w:tc>
      </w:tr>
      <w:tr w:rsidR="00CD7B49" w14:paraId="4541956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E7C31F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73539B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F38622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6D94B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1.180.945,01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2EF7D4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1.705.444,62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A53727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144,4</w:t>
            </w:r>
          </w:p>
        </w:tc>
      </w:tr>
      <w:tr w:rsidR="00CD7B49" w14:paraId="1BAE3AB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0D8024" w14:textId="77777777" w:rsidR="00CD7B49" w:rsidRDefault="00CD7B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F991E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5E7CC5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E567B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C96CCA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470.666,79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5F64E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CD7B49" w14:paraId="5CA1C6E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0E9D8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BDF5D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8E3DD6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E6FBB4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5314B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F6351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D7B49" w14:paraId="0F8E888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59949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A74A6A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DE964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A371BF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64.630,99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38E99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815.383,09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650572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1261,6</w:t>
            </w:r>
          </w:p>
        </w:tc>
      </w:tr>
      <w:tr w:rsidR="00CD7B49" w14:paraId="11EB72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7AF80" w14:textId="77777777" w:rsidR="00CD7B49" w:rsidRDefault="00CD7B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B4BE42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F3AE0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67803B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64.630,99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AF3AC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815.383,09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6F2BAE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1261,6</w:t>
            </w:r>
          </w:p>
        </w:tc>
      </w:tr>
      <w:tr w:rsidR="00CD7B49" w14:paraId="647764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A5ABB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B98AB6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0B2BE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A10BB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4A9B62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37D1C5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CD7B49" w14:paraId="700CC15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4D1A5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FF7DBC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B69A1C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430EF1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33.243,90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A12D9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33.243,90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5F8F6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  <w:tr w:rsidR="00CD7B49" w14:paraId="7645A2A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6355BE" w14:textId="77777777" w:rsidR="00CD7B49" w:rsidRDefault="00CD7B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1DD3A28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0CEC1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CA2D3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33.243,90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35380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33.243,90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B31BF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100</w:t>
            </w:r>
          </w:p>
        </w:tc>
      </w:tr>
      <w:tr w:rsidR="00CD7B49" w14:paraId="5FB630B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7D0601" w14:textId="77777777" w:rsidR="00CD7B49" w:rsidRDefault="00CD7B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5C369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A7441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EB8B75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53.674,33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D51D95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1.319.293,78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0B2C7A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2458,0</w:t>
            </w:r>
          </w:p>
        </w:tc>
      </w:tr>
    </w:tbl>
    <w:p w14:paraId="6B78BC91" w14:textId="77777777" w:rsidR="00CD7B49" w:rsidRDefault="00CD7B49">
      <w:pPr>
        <w:spacing w:after="0"/>
      </w:pPr>
    </w:p>
    <w:p w14:paraId="11E6F4D3" w14:textId="77777777" w:rsidR="00CD7B49" w:rsidRDefault="00000000">
      <w:r>
        <w:t xml:space="preserve">Ukupni prihodi i primici Općine </w:t>
      </w:r>
      <w:proofErr w:type="spellStart"/>
      <w:r>
        <w:t>Pušća</w:t>
      </w:r>
      <w:proofErr w:type="spellEnd"/>
      <w:r>
        <w:t xml:space="preserve"> ostvareni u razdoblju od 1. siječnja od 30. lipnja 2026. godine iznosili su 1.234.777,83 €, odnosno 0,8% ili 9.632,26 € više nego prethodne 2025. godine. Na rast prihoda poslovanja u promatranom razdoblju najvećim je dijelom utjecalo uvećanje prihoda od poreza na dohodak, poreza na imovinu, prihoda po posebnim propisima. Prihodi od prodaje nefinancijske imovine nisu zabilježeni. Ukupni rashodi i izdaci su iznosili 2.554.071,61 € što je za 99,7% ili 1.275.251,71 € više nego prošle godine. Rashodi poslovanja </w:t>
      </w:r>
      <w:r>
        <w:lastRenderedPageBreak/>
        <w:t>su rasli, a na to su utjecali povećanje rashoda za usluge, rashoda za kamate i nabavu nefinancijske imovine (za 1.161,6%), a izdaci za financijsku imovinu i otplatu zajmova su ostvareni u istom iznosu kao i prošle godine. Ostvaren je manjak prihoda u iznosu od 1.319.293,78 €. Višak prihoda iz prethodnog razdoblja iznosi 469.035,08 €, tako da se u sljedeće razdoblje prenosi manjak u iznosu od 850.258,70 €.</w:t>
      </w:r>
    </w:p>
    <w:p w14:paraId="644AF6BA" w14:textId="77777777" w:rsidR="00CD7B49" w:rsidRDefault="00000000">
      <w:r>
        <w:t> </w:t>
      </w:r>
    </w:p>
    <w:p w14:paraId="2AE820A1" w14:textId="77777777" w:rsidR="00CD7B49" w:rsidRDefault="00000000">
      <w:r>
        <w:br/>
      </w:r>
    </w:p>
    <w:p w14:paraId="263878E9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4CE57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8353DD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35419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2224C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EAE2B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07F47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3B959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05E9AC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B36596C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1153A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C3428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DCF1FE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1.225.145,57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3C5DC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1.234.777,83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E6D0EB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100,8</w:t>
            </w:r>
          </w:p>
        </w:tc>
      </w:tr>
    </w:tbl>
    <w:p w14:paraId="708F52A1" w14:textId="77777777" w:rsidR="00CD7B49" w:rsidRDefault="00CD7B49">
      <w:pPr>
        <w:spacing w:after="0"/>
      </w:pPr>
    </w:p>
    <w:p w14:paraId="4561DDA7" w14:textId="77777777" w:rsidR="00CD7B49" w:rsidRDefault="00000000">
      <w:r>
        <w:t xml:space="preserve">Prihodi poslovanja Općine </w:t>
      </w:r>
      <w:proofErr w:type="spellStart"/>
      <w:r>
        <w:t>Pušća</w:t>
      </w:r>
      <w:proofErr w:type="spellEnd"/>
      <w:r>
        <w:t xml:space="preserve"> ostvareni u razdoblju od 1. siječnja od 30. lipnja 2026. godine iznosili su 1.234.777,83 €, odnosno 0,8% ili 9.632,26 € više nego prethodne 2025. godine. Na rast prihoda poslovanja u promatranom razdoblju najvećim je dijelom utjecalo uvećanje prihoda od poreza na dohodak, poreza na imovinu, prihoda po posebnim propisima.</w:t>
      </w:r>
    </w:p>
    <w:p w14:paraId="5681308D" w14:textId="77777777" w:rsidR="00CD7B49" w:rsidRDefault="00CD7B49"/>
    <w:p w14:paraId="353065BE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71E64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BBFFA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4C0E3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7C9948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536BA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55245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5F9BB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030B1D7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40B536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274A8B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7954F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BE45F4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766.126,01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8E658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1.042.974,80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D9B53F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136,1</w:t>
            </w:r>
          </w:p>
        </w:tc>
      </w:tr>
    </w:tbl>
    <w:p w14:paraId="5C76F197" w14:textId="77777777" w:rsidR="00CD7B49" w:rsidRDefault="00CD7B49">
      <w:pPr>
        <w:spacing w:after="0"/>
      </w:pPr>
    </w:p>
    <w:p w14:paraId="5A1F1C00" w14:textId="77777777" w:rsidR="00CD7B49" w:rsidRDefault="00000000">
      <w:r>
        <w:t>Prihodi od poreza na dohodak u razdoblju od 1. siječnja do 30. lipnja 2026. godine ostvareni su u iznosu od 1.042.974,80 €, odnosno 36,1% ili 276.848,79 € više u odnosu na iste prihode ostvarene u promatranom razdoblju 2025. godine. Na rast prihoda od poreza na dohodak je najviše utjecalo uvećanje prihoda od poreza na dohodak od nesamostalnog rada ostvarenih za 45% ili 383.280,01 € više nego u istom razdoblju 2025. godine, prihoda od poreza na dohodak od imovine i imovinskih prava za 82,8% ili 12.461,41 € te prihoda od povrata poreza na dohodak po godišnjoj prijavi za 31,5% ili 66.236,40 € više nego u 2025. godini. Umanjeni su prihodi od poreza na dohodak od samostalnih djelatnosti za 45,6% ili za 12.860,26 €, prihodi od poreza na dohodak od kapitala za 47,3% ili za 30.385,34 € te porezi na dohodak po godišnjoj prijavi za 53,9% ili 9.410,63 €.</w:t>
      </w:r>
    </w:p>
    <w:p w14:paraId="76821D4A" w14:textId="77777777" w:rsidR="00CD7B49" w:rsidRDefault="00CD7B49"/>
    <w:p w14:paraId="78AA924C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488CD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BB558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CD403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25307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C1C8D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43622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19884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6688F72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71448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5F2AA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6F48F0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1EEBA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38.939,05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4290A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55.129,51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B31DC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141,6</w:t>
            </w:r>
          </w:p>
        </w:tc>
      </w:tr>
    </w:tbl>
    <w:p w14:paraId="2F7DCFE2" w14:textId="77777777" w:rsidR="00CD7B49" w:rsidRDefault="00CD7B49">
      <w:pPr>
        <w:spacing w:after="0"/>
      </w:pPr>
    </w:p>
    <w:p w14:paraId="089CE699" w14:textId="77777777" w:rsidR="00CD7B49" w:rsidRDefault="00000000">
      <w:r>
        <w:t>Prihodi od poreza na imovinu u razdoblju od 1. siječnja do 30. lipnja 2026. godine ostvareni su u iznosu od 55.129,51 €, odnosno 41,6% ili 1619,46 € više u odnosu na iste prihode ostvarene u promatranom razdoblju 2025. godine. Na rast prihoda od pomoći je najviše utjecalo uvećanje prihoda od povremenih poreza na imovinu ostvarenih za 42,2% ili 16.246,88€ više nego u istom razdoblju 2025. godine, dok su stalni porezi manji za 12,5% ili 56,42 € nego u 2025. godini.</w:t>
      </w:r>
    </w:p>
    <w:p w14:paraId="064738BA" w14:textId="77777777" w:rsidR="00CD7B49" w:rsidRDefault="00CD7B49"/>
    <w:p w14:paraId="7557F36F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75575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A22EE8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26493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D3094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18149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DB450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F47C75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4D97815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A1C0A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6808B5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izravnanja za 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22B2E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368677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64.551,48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D14A5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51.299,30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1DAD8B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79,5</w:t>
            </w:r>
          </w:p>
        </w:tc>
      </w:tr>
    </w:tbl>
    <w:p w14:paraId="4849CA43" w14:textId="77777777" w:rsidR="00CD7B49" w:rsidRDefault="00CD7B49">
      <w:pPr>
        <w:spacing w:after="0"/>
      </w:pPr>
    </w:p>
    <w:p w14:paraId="51E13625" w14:textId="77777777" w:rsidR="00CD7B49" w:rsidRDefault="00000000">
      <w:r>
        <w:t>Prihodi od pomoći fiskalnog izravnanja u razdoblju od 1. siječnja do 30. lipnja 2026. godine ostvareni su u iznosu od 51.299,30 €, odnosno za 20,5% ili 13.252,18 € manje nego u istom razdoblju 2025. godine.</w:t>
      </w:r>
    </w:p>
    <w:p w14:paraId="47E7000F" w14:textId="77777777" w:rsidR="00CD7B49" w:rsidRDefault="00CD7B49"/>
    <w:p w14:paraId="03FA1865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43CF4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867F1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C7134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3BC79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65A1A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F893B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477E9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6F67E28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9D107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18E2FA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C7D66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7897C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44.101,26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C645A0E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29.313,36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DFA92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66,5</w:t>
            </w:r>
          </w:p>
        </w:tc>
      </w:tr>
    </w:tbl>
    <w:p w14:paraId="7F6A2DD4" w14:textId="77777777" w:rsidR="00CD7B49" w:rsidRDefault="00CD7B49">
      <w:pPr>
        <w:spacing w:after="0"/>
      </w:pPr>
    </w:p>
    <w:p w14:paraId="276D27A9" w14:textId="77777777" w:rsidR="00CD7B49" w:rsidRDefault="00000000">
      <w:r>
        <w:t>Prihodi od nefinancijske imovine u razdoblju od 1. siječnja do 30. lipnja 2026. godine ostvareni su u iznosu od 29.313,36 €, odnosno 33,5% ili 14.787,90 € manje u odnosu na iste prihode ostvarene u istom razdoblju 2025. godine. Na pad tih prihoda u promatranom razdoblju je utjecalo umanjenje prihoda od zakupa i iznajmljivanja imovine i poslovnih prostora.</w:t>
      </w:r>
    </w:p>
    <w:p w14:paraId="21974BCC" w14:textId="77777777" w:rsidR="00CD7B49" w:rsidRDefault="00CD7B49"/>
    <w:p w14:paraId="44439CF0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728C8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E8762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08D31D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97D49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C311D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8FA04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036D7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6D218FB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41F8DF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F538E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Upravne i administrativne pristojbe (šifre 6511 do 6514)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9426F2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A6DA8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1.130,93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19FA88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343,27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AD018F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30,4</w:t>
            </w:r>
          </w:p>
        </w:tc>
      </w:tr>
    </w:tbl>
    <w:p w14:paraId="3B93EF65" w14:textId="77777777" w:rsidR="00CD7B49" w:rsidRDefault="00CD7B49">
      <w:pPr>
        <w:spacing w:after="0"/>
      </w:pPr>
    </w:p>
    <w:p w14:paraId="3553D646" w14:textId="77777777" w:rsidR="00CD7B49" w:rsidRDefault="00000000">
      <w:r>
        <w:t>Prihodi od upravnih i administrativnih pristojbi u razdoblju od 1. siječnja do 30. lipnja 2026. godine ostvareni su u iznosu od 343,27 €, odnosno 69,6% ili 787,66 € manje u odnosu na iste prihode ostvarene u istom razdoblju 2025. godine. Na pad tih prihoda u promatranom razdoblju je utjecalo umanjenje prihoda od gradskih i općinskih upravnih pristojbi i ostalih naknada.</w:t>
      </w:r>
    </w:p>
    <w:p w14:paraId="6C501A70" w14:textId="77777777" w:rsidR="00CD7B49" w:rsidRDefault="00CD7B49"/>
    <w:p w14:paraId="581320D0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77BA9B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DEBB9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CF0BD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04E588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3E66A5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8BA1C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CAB62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7A0CF53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F168CC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44E36F2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9EBDC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E3494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19.145,15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D7F9F7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48.031,35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1523D8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250,9</w:t>
            </w:r>
          </w:p>
        </w:tc>
      </w:tr>
    </w:tbl>
    <w:p w14:paraId="5E289127" w14:textId="77777777" w:rsidR="00CD7B49" w:rsidRDefault="00CD7B49">
      <w:pPr>
        <w:spacing w:after="0"/>
      </w:pPr>
    </w:p>
    <w:p w14:paraId="55557256" w14:textId="77777777" w:rsidR="00CD7B49" w:rsidRDefault="00000000">
      <w:r>
        <w:t>Prihodi po posebnim propisima u razdoblju od 1. siječnja do 30. lipnja 2026. godine ostvareni su u iznosu od 48.031,35 €, odnosno 150,9% ili 28.886,20 € više u odnosu na prihode  ostvarene u istom razdoblju 2025. godine. Na rast tih prihoda u promatranom razdoblju je utjecalo uvećanje prihoda od doprinosa za šume za 512,17 € više u odnosu na isto razdoblje 2025. godine te prihoda od grobne naknade i ostalih nespomenutih prihoda za 136,5% ili 2.124,03 €, kao i pojava prihoda od vodnog doprinosa u iznosu od 2.250,00 €.</w:t>
      </w:r>
    </w:p>
    <w:p w14:paraId="4A104008" w14:textId="77777777" w:rsidR="00CD7B49" w:rsidRDefault="00CD7B49"/>
    <w:p w14:paraId="6C75573C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0CBE5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A07AF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99BAA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9B8F8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DE4AF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EDE70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C4CB7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2985106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559F7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D3227F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 i naknade (šifre 6531 do 6533)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DF37A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65FEFF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50.812,57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F43881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5.524,15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288BB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10,9</w:t>
            </w:r>
          </w:p>
        </w:tc>
      </w:tr>
    </w:tbl>
    <w:p w14:paraId="70D2EAE0" w14:textId="77777777" w:rsidR="00CD7B49" w:rsidRDefault="00CD7B49">
      <w:pPr>
        <w:spacing w:after="0"/>
      </w:pPr>
    </w:p>
    <w:p w14:paraId="66897AB3" w14:textId="77777777" w:rsidR="00CD7B49" w:rsidRDefault="00000000">
      <w:r>
        <w:t>Prihodi od komunalnih doprinosa i naknade u razdoblju od 1. siječnja do 30. lipnja 2026. godine ostvareni su u iznosu od 5.524,15 €, odnosno 89,1% ili 45.288,42 € manje u odnosu na iste prihode ostvarene u promatranom razdoblju 2025. godine. Na pad prihoda od komunalnih doprinosa i naknada je utjecalo umanjenje prihoda od komunalnih doprinosa koji su ostvareni u iznosu od 441,93 €, odnosno 94,4% ili 7.520,56 € manje u odnosu na isto razdoblje prošle godine, dok su prihodi od komunalnih naknada koji su ostvareni za 88,1% ili 37.767,86 € manje u odnosu na 2025. godinu.</w:t>
      </w:r>
    </w:p>
    <w:p w14:paraId="43351173" w14:textId="77777777" w:rsidR="00CD7B49" w:rsidRDefault="00CD7B49"/>
    <w:p w14:paraId="65EB3C3F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0096F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73241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3B583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B4577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8BC15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84723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1F1C8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3154B59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4AAD0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ADDA74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677F79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922AA2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1.180.945,01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7A755A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1.705.444,62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F4B1C5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144,4</w:t>
            </w:r>
          </w:p>
        </w:tc>
      </w:tr>
    </w:tbl>
    <w:p w14:paraId="19C8738C" w14:textId="77777777" w:rsidR="00CD7B49" w:rsidRDefault="00CD7B49">
      <w:pPr>
        <w:spacing w:after="0"/>
      </w:pPr>
    </w:p>
    <w:p w14:paraId="3A059315" w14:textId="77777777" w:rsidR="00CD7B49" w:rsidRDefault="00000000">
      <w:r>
        <w:t xml:space="preserve">Rashodi poslovanja Općine </w:t>
      </w:r>
      <w:proofErr w:type="spellStart"/>
      <w:r>
        <w:t>Pušća</w:t>
      </w:r>
      <w:proofErr w:type="spellEnd"/>
      <w:r>
        <w:t xml:space="preserve"> ostvareni u razdoblju od 1. siječnja od 30. lipnja 2026. godine ostvareni su u iznosu od 1.705.444,62 €, odnosno 44,4% ili 524.499,61 € više nego prethodne 2025. godine. Na rast rashoda poslovanja je najviše utjecalo povećanje rashoda za usluge, rashoda za kamate i nabavu nefinancijske imovine.</w:t>
      </w:r>
    </w:p>
    <w:p w14:paraId="02E86293" w14:textId="77777777" w:rsidR="00CD7B49" w:rsidRDefault="00CD7B49"/>
    <w:p w14:paraId="281A61FE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4E6A6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2E16C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2CC86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10F7C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FE5765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6BB04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55A36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21E2672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20D43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7B3C5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C7C6E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F2757B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11.785,56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5C538E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8.355,69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FE4D25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70,9</w:t>
            </w:r>
          </w:p>
        </w:tc>
      </w:tr>
    </w:tbl>
    <w:p w14:paraId="059AF292" w14:textId="77777777" w:rsidR="00CD7B49" w:rsidRDefault="00CD7B49">
      <w:pPr>
        <w:spacing w:after="0"/>
      </w:pPr>
    </w:p>
    <w:p w14:paraId="24588A81" w14:textId="77777777" w:rsidR="00CD7B49" w:rsidRDefault="00000000">
      <w:r>
        <w:t>Naknade troškova zaposlenima u razdoblju od 1. siječnja do 30. lipnja 2026. godine ostvareni su u iznosu od 8.355,69 €, odnosno 29,1% ili 3.429,87 € manje u odnosu na iste rashode ostvarene u istom razdoblju 2025. godine. Na pad u promatranom razdoblju je utjecalo umanjenje rashoda za naknade za prijevoz, smještaj i dnevnice na službenom putu u zemlji i inozemstvu za 19,2% ili 254,74 €, dok su rashodi za stručno usavršavanje  zaposlenika (seminari, savjetovanja i simpoziji, tečajevi i stručni ispiti) uvećani za 6% ili 206,93 €. Rashodi za ostale naknade troškova zaposlenima (naknade za korištenje privatnog automobila u službene svrhe i ostale naknade) su umanjeni za 27,5% ili za 1.294,66. Rashodi za naknade za prijevoz na posao i s posla umanjeni su za 89,9% ili za 2.088,40 €.</w:t>
      </w:r>
    </w:p>
    <w:p w14:paraId="73C64AEE" w14:textId="77777777" w:rsidR="00CD7B49" w:rsidRDefault="00CD7B49"/>
    <w:p w14:paraId="19358506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16E517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3CF4B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842F5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1A402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1B0C2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AD152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12020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4F0D14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BE53E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A5AE3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186F96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7D828A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33.531,54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05D90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24.600,90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64974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73,4</w:t>
            </w:r>
          </w:p>
        </w:tc>
      </w:tr>
    </w:tbl>
    <w:p w14:paraId="43E00BEA" w14:textId="77777777" w:rsidR="00CD7B49" w:rsidRDefault="00CD7B49">
      <w:pPr>
        <w:spacing w:after="0"/>
      </w:pPr>
    </w:p>
    <w:p w14:paraId="0535F7A3" w14:textId="77777777" w:rsidR="00CD7B49" w:rsidRDefault="00000000">
      <w:r>
        <w:t xml:space="preserve">Rashodi za materijal i energiju u razdoblju od 1. siječnja do 30. lipnja 2026. godine ostvareni su u iznosu od 24.600,90 €, odnosno 26,6% ili 8.930,64 € manje u odnosu na iste rashode ostvarene u promatranom razdoblju 2025. godine. Na pad navedenih rashoda utjecalo je umanjenje rashoda za uredski materijal i ostali materijalni rashodi (materijal za potrebe redovnog poslovanja, čišćenje i održavanje, literatura, uredski materijal) koji su ostvareni za 56,7% , odnosno 2.535,02 € manje u odnosu na ostvarenje u istom razdoblju 2025. godine; rashoda za energiju (gorivo, plin, </w:t>
      </w:r>
      <w:proofErr w:type="spellStart"/>
      <w:r>
        <w:t>elekrična</w:t>
      </w:r>
      <w:proofErr w:type="spellEnd"/>
      <w:r>
        <w:t xml:space="preserve"> energija) koji su ostvareni za 18,7% ili 4.854,30 € </w:t>
      </w:r>
      <w:r>
        <w:lastRenderedPageBreak/>
        <w:t>manje nego prethodne 2025. godine; zatim rashodi za materijal i dijelove za tekuće i investicijsko održavanje (postrojenja i opreme) za 58,7% ili 836,71 €, te rashodi za sitni inventar za 53% ili 750,64 €, dok su rashodi za službenu, radnu i zaštitnu odjeću i obuću uvećani za 16,2% ili 46,03 € više.</w:t>
      </w:r>
    </w:p>
    <w:p w14:paraId="0269E3B6" w14:textId="77777777" w:rsidR="00CD7B49" w:rsidRDefault="00CD7B49"/>
    <w:p w14:paraId="33517923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14FA8F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A0FA26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A96AC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715DF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2F474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CECB4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5A5EF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218F2A1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61582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7ED045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08984B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0C75C0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496.635,06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231A4B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739.519,67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B4723C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148,9</w:t>
            </w:r>
          </w:p>
        </w:tc>
      </w:tr>
    </w:tbl>
    <w:p w14:paraId="0C4F4480" w14:textId="77777777" w:rsidR="00CD7B49" w:rsidRDefault="00CD7B49">
      <w:pPr>
        <w:spacing w:after="0"/>
      </w:pPr>
    </w:p>
    <w:p w14:paraId="58038B2F" w14:textId="77777777" w:rsidR="00CD7B49" w:rsidRDefault="00000000">
      <w:r>
        <w:t>Rashodi za usluge u razdoblju od 1. siječnja do 30. lipnja 2026. godine ostvareni su u iznosu od 739.519,67 €, odnosno 48,9% ili 242.884,61 € više u odnosu na iste rashode ostvarene u promatranom razdoblju 2025. godine. Na rast rashoda za usluge utjecalo je uvećanje rashoda za usluge telefona, interneta i poštarine za 11,8% ili 1.180,08 €, rashoda za usluge tekućeg i investicijskog održavanja (postrojenja i opreme, građevinskih objekata i ostalih) za 32,3% ili 86.874,10 €, rashoda za usluge promidžbe i informiranja (tisak, elektronski mediji i ostale usluge) za 11,2% ili 2.323,88 €, rashoda za komunalne usluge (komunalne, dimnjačarske usluge, opskrba vodom, odvoz smeća i ostale komunalne usluge) za 77,4% ili 6.011,83 €,  rashoda za veterinarske usluge za 4.289,60% ili za 1.707,69 €, rashoda za intelektualne i osobne usluge (geodetsko-katastarske, usluge odvjetnika, ugovori o djelu i ostale usluge) za 107,8% ili 124.488,79 €, rashodi za računalne usluge za 103,7% ili za 28.534,25 €, dok su rashodi za ostale nespomenute usluge, naknade za energetske usluge, uređenje prostora, usluge čuvanja imovine i osoba i usluge za grafičke i tiskarske usluge) umanjeni za 15,4% ili 6.974,35 €.  </w:t>
      </w:r>
    </w:p>
    <w:p w14:paraId="1AFF7C1E" w14:textId="77777777" w:rsidR="00CD7B49" w:rsidRDefault="00CD7B49"/>
    <w:p w14:paraId="56494FE8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3485F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8B5C4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6030A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37C2ED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3DB76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B25BF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7FC3C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637C74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08EB5D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83A1AB0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1EABDA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B3A2D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1.004,35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57AC10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2.229,63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4B5EB1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222,0</w:t>
            </w:r>
          </w:p>
        </w:tc>
      </w:tr>
    </w:tbl>
    <w:p w14:paraId="388F6324" w14:textId="77777777" w:rsidR="00CD7B49" w:rsidRDefault="00CD7B49">
      <w:pPr>
        <w:spacing w:after="0"/>
      </w:pPr>
    </w:p>
    <w:p w14:paraId="6FDB3ED5" w14:textId="77777777" w:rsidR="00CD7B49" w:rsidRDefault="00000000">
      <w:r>
        <w:t>Rashodi za kamate primljene kredite i zajmove u razdoblju od 1. siječnja do 30. lipnja 2026. godine ostvareni su u iznosu od 2.229,63 €, odnosno 122% ili 1.225,28 € više u odnosu na iste rashode ostvarene u promatranom razdoblju 2025. godine. Na rast tih rashoda je utjecalo uvećanje rashoda za kamate za primljene kredite i zajmove.</w:t>
      </w:r>
    </w:p>
    <w:p w14:paraId="49065AA7" w14:textId="77777777" w:rsidR="00CD7B49" w:rsidRDefault="00000000">
      <w:r>
        <w:t> </w:t>
      </w:r>
    </w:p>
    <w:p w14:paraId="13D09A74" w14:textId="77777777" w:rsidR="00CD7B49" w:rsidRDefault="00CD7B49"/>
    <w:p w14:paraId="44C20931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23809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E7675A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74DDA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6765F2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BEC37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5C875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BFE9F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4AFC312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52229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205B2C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FA75CEB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2A4962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232.525,44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21873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185.718,65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4D77D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79,9</w:t>
            </w:r>
          </w:p>
        </w:tc>
      </w:tr>
    </w:tbl>
    <w:p w14:paraId="47F767A9" w14:textId="77777777" w:rsidR="00CD7B49" w:rsidRDefault="00CD7B49">
      <w:pPr>
        <w:spacing w:after="0"/>
      </w:pPr>
    </w:p>
    <w:p w14:paraId="79508FD7" w14:textId="77777777" w:rsidR="00CD7B49" w:rsidRDefault="00000000">
      <w:r>
        <w:t>Rashodi za navedene naknade u razdoblju od 1. siječnja do 30. lipnja 2026. godine ostvareni su u iznosu od 185.718,65 €, odnosno 20,1%  ili 46.806,79 € manje u odnosu na iste rashode ostvarene u promatranom razdoblju 2025. godine. Na pad tih rashoda je utjecalo umanjenje rashoda za naknade građanima i kućanstvima u naravi i subvencioniranje cijene prijevoza.</w:t>
      </w:r>
    </w:p>
    <w:p w14:paraId="22AB15F5" w14:textId="77777777" w:rsidR="00CD7B49" w:rsidRDefault="00CD7B49"/>
    <w:p w14:paraId="18760C62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2CAC9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C5BDC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0F562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684F6F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BC438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780CD5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90F8FB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3592B6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61DA8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0A64C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CA3057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DAD5CF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64.630,99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D41DA9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815.383,09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82C37E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1261,6</w:t>
            </w:r>
          </w:p>
        </w:tc>
      </w:tr>
    </w:tbl>
    <w:p w14:paraId="587324A1" w14:textId="77777777" w:rsidR="00CD7B49" w:rsidRDefault="00CD7B49">
      <w:pPr>
        <w:spacing w:after="0"/>
      </w:pPr>
    </w:p>
    <w:p w14:paraId="54511EA9" w14:textId="77777777" w:rsidR="00CD7B49" w:rsidRDefault="00000000">
      <w:r>
        <w:t>Rashodi za nabavu nefinancijske imovine u razdoblju od 1. siječnja do 30. lipnja 2026. godine ostvareni su u iznosu od 815.383,09 €, odnosno 1.161,6% ili 750.752,10 € više u odnosu na iste rashode ostvarene u promatranom razdoblju 2025. godine. Na rast ovih rashoda najviše je utjecalo uvećanje rashoda za nabavu proizvedene dugotrajne imovine.</w:t>
      </w:r>
    </w:p>
    <w:p w14:paraId="471221FF" w14:textId="77777777" w:rsidR="00CD7B49" w:rsidRDefault="00000000">
      <w:r>
        <w:t> </w:t>
      </w:r>
    </w:p>
    <w:p w14:paraId="1DAEFCFE" w14:textId="77777777" w:rsidR="00CD7B49" w:rsidRDefault="00CD7B49"/>
    <w:p w14:paraId="5D2C6F71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2EA28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BC33B8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18E26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B1501E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5B8788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F6B575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02131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01EC25D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0B4110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6CBD143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Građevinski objekti (šifre 4211 do 4214)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427D800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796379D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E0640B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804.164,59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6AC3F4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5B742D13" w14:textId="77777777" w:rsidR="00CD7B49" w:rsidRDefault="00CD7B49">
      <w:pPr>
        <w:spacing w:after="0"/>
      </w:pPr>
    </w:p>
    <w:p w14:paraId="12F223CC" w14:textId="77777777" w:rsidR="00CD7B49" w:rsidRDefault="00000000">
      <w:r>
        <w:t>Od 1. siječnja do 30. lipnja 2026. godine ostvareni su rashodi u iznosu od 804.164,59 €, odnosno 800.414,59 € više nego u istom razdoblju 2025. godine. Na rast ovih rashoda je utjecala pojava rashoda za ceste i ostale slične prometne objekte, kao i uvećanje rashoda za ostale građevinske objekte za 3.895,40% ili za 131.076,58 €.</w:t>
      </w:r>
    </w:p>
    <w:p w14:paraId="6E54172F" w14:textId="77777777" w:rsidR="00CD7B49" w:rsidRDefault="00CD7B49"/>
    <w:p w14:paraId="2B0A4A41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6C089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CF73E8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9E726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96F10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AA0BDC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95E11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93E5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160EAAB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E7F39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D79B06A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71BF4E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C4E348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47.796,96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503A18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11.218,50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D164A3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23,5</w:t>
            </w:r>
          </w:p>
        </w:tc>
      </w:tr>
    </w:tbl>
    <w:p w14:paraId="4BB7FEBA" w14:textId="77777777" w:rsidR="00CD7B49" w:rsidRDefault="00CD7B49">
      <w:pPr>
        <w:spacing w:after="0"/>
      </w:pPr>
    </w:p>
    <w:p w14:paraId="6CB41403" w14:textId="77777777" w:rsidR="00CD7B49" w:rsidRDefault="00000000">
      <w:r>
        <w:t>Od 1. siječnja do 30. lipnja 2026. godine ostvareni su rashodi u iznosu od 11.218,50 €, što je 76,5% ili 36.578,46 € manje nego u istom razdoblju 2025. godine. Ostvareni su rashodi za uredski namještaj za 2,5% ili 143,90 € više, dok su rashodi za opremu i uređaje manji za 86,2% ili 33.631,20 €.</w:t>
      </w:r>
    </w:p>
    <w:p w14:paraId="5370AD40" w14:textId="77777777" w:rsidR="00CD7B49" w:rsidRDefault="00CD7B49"/>
    <w:p w14:paraId="24B35B53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CD7B49" w14:paraId="5B17B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3484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B8D6C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14B4B0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648B59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428CC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1F9804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0F7C5EF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C53A64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5DDF41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4A7AAF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4515CA7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33.243,90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5C1450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33.243,90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8409E5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</w:t>
            </w:r>
          </w:p>
        </w:tc>
      </w:tr>
    </w:tbl>
    <w:p w14:paraId="31535211" w14:textId="77777777" w:rsidR="00CD7B49" w:rsidRDefault="00CD7B49">
      <w:pPr>
        <w:spacing w:after="0"/>
      </w:pPr>
    </w:p>
    <w:p w14:paraId="64801C15" w14:textId="77777777" w:rsidR="00CD7B49" w:rsidRDefault="00000000">
      <w:r>
        <w:t>Izdaci za financijsku imovinu i otplatu zajmova u razdoblju od 1. siječnja do 30. lipnja 2026. godine ostvareni su u iznosu od 33.243,90 €, odnosno u istom iznosu ostvarenom u promatranom razdoblju 2025. godine. Odnose se na otplatu glavnice primljenih kredita.</w:t>
      </w:r>
    </w:p>
    <w:p w14:paraId="21C23D87" w14:textId="77777777" w:rsidR="00CD7B49" w:rsidRDefault="00000000">
      <w:r>
        <w:t> </w:t>
      </w:r>
    </w:p>
    <w:p w14:paraId="33BF2D19" w14:textId="77777777" w:rsidR="00CD7B49" w:rsidRDefault="00CD7B49"/>
    <w:p w14:paraId="4831F5BE" w14:textId="77777777" w:rsidR="00CD7B4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3FAD55D0" w14:textId="77777777" w:rsidR="00CD7B49" w:rsidRDefault="00000000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CD7B49" w14:paraId="691C9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C1D39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DF4F8D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FBAC43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80C7097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481A11" w14:textId="77777777" w:rsidR="00CD7B4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CD7B49" w14:paraId="61122D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C1A8E9" w14:textId="77777777" w:rsidR="00CD7B49" w:rsidRDefault="00CD7B4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79A272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59EB46" w14:textId="77777777" w:rsidR="00CD7B4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A39992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39.568,43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475846" w14:textId="77777777" w:rsidR="00CD7B4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178B54B" w14:textId="77777777" w:rsidR="00CD7B49" w:rsidRDefault="00CD7B49">
      <w:pPr>
        <w:spacing w:after="0"/>
      </w:pPr>
    </w:p>
    <w:p w14:paraId="5ECFA9B4" w14:textId="77777777" w:rsidR="00CD7B49" w:rsidRDefault="00000000">
      <w:r>
        <w:t xml:space="preserve">Povećanje obveza u izvještajnom razdoblju iznosi 2.781.822,16 €, a isto se sastoji od obveza za rashode poslovanja i obveza za nabavu nefinancijske imovine, dok je početno stanje 01.01.2026. godine 256.691,09 € što čini ukupno 3.038.513,25 € obveza. U izvještajnom razdoblju podmirene su obveze u ukupnom iznosu od 2.037.158,09 € te na kraju izvještajnog razdoblja tj. sa 30. lipnjem 2026. godine stanje obveza iznosi 1.001.355,16 €.  Dospjele obveze na kraju izvještajnog razdoblja su evidentirane u iznosu od 39.568,43 € za obveze za rashode poslovanja i nabavu nefinancijske imovine zbog nedostatka računa po </w:t>
      </w:r>
      <w:proofErr w:type="spellStart"/>
      <w:r>
        <w:t>uskađenju</w:t>
      </w:r>
      <w:proofErr w:type="spellEnd"/>
      <w:r>
        <w:t xml:space="preserve">, dok iznos nedospjelih obveza iznosi 961.786,73 € i to za obveze za rashode poslovanja, nabavu nefinancijske imovine, obveze za financijsku imovinu i obveze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prihode.</w:t>
      </w:r>
    </w:p>
    <w:p w14:paraId="5FAE45B7" w14:textId="77777777" w:rsidR="00CD7B49" w:rsidRDefault="00000000">
      <w:r>
        <w:lastRenderedPageBreak/>
        <w:t> </w:t>
      </w:r>
    </w:p>
    <w:p w14:paraId="3BB569D4" w14:textId="77777777" w:rsidR="00CD7B49" w:rsidRDefault="00000000">
      <w:r>
        <w:t> </w:t>
      </w:r>
    </w:p>
    <w:p w14:paraId="39A9B685" w14:textId="77777777" w:rsidR="00CD7B49" w:rsidRDefault="00CD7B49"/>
    <w:sectPr w:rsidR="00CD7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B49"/>
    <w:rsid w:val="00A42C8D"/>
    <w:rsid w:val="00BC653A"/>
    <w:rsid w:val="00C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91CF"/>
  <w15:docId w15:val="{1E74854F-2227-4C34-AD1E-940FA9B6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2493</Words>
  <Characters>14212</Characters>
  <Application>Microsoft Office Word</Application>
  <DocSecurity>0</DocSecurity>
  <Lines>118</Lines>
  <Paragraphs>33</Paragraphs>
  <ScaleCrop>false</ScaleCrop>
  <Company/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Mikelec</dc:creator>
  <cp:lastModifiedBy>Ivana Mikelec</cp:lastModifiedBy>
  <cp:revision>2</cp:revision>
  <dcterms:created xsi:type="dcterms:W3CDTF">2026-07-15T05:41:00Z</dcterms:created>
  <dcterms:modified xsi:type="dcterms:W3CDTF">2026-07-15T05:41:00Z</dcterms:modified>
</cp:coreProperties>
</file>